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8C" w:rsidRPr="00836C8C" w:rsidRDefault="006A6976" w:rsidP="00836C8C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rFonts w:ascii="Book Antiqua" w:hAnsi="Book Antiqua" w:cs="Times-Roman"/>
          <w:sz w:val="22"/>
          <w:szCs w:val="32"/>
          <w:lang w:val="cs-CZ" w:eastAsia="en-US" w:bidi="en-US"/>
        </w:rPr>
      </w:pPr>
      <w:bookmarkStart w:id="0" w:name="_GoBack"/>
      <w:bookmarkEnd w:id="0"/>
    </w:p>
    <w:p w:rsidR="00836C8C" w:rsidRPr="00836C8C" w:rsidRDefault="006A6976" w:rsidP="00836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 w:cs="Arial-BoldMT"/>
          <w:b/>
          <w:bCs/>
          <w:sz w:val="28"/>
          <w:szCs w:val="32"/>
          <w:lang w:val="en-US" w:eastAsia="en-US" w:bidi="en-US"/>
        </w:rPr>
      </w:pPr>
      <w:r w:rsidRPr="00836C8C">
        <w:rPr>
          <w:rFonts w:ascii="Book Antiqua" w:hAnsi="Book Antiqua" w:cs="Arial-BoldMT"/>
          <w:b/>
          <w:bCs/>
          <w:sz w:val="28"/>
          <w:szCs w:val="32"/>
          <w:lang w:val="en-US" w:eastAsia="en-US" w:bidi="en-US"/>
        </w:rPr>
        <w:t>Biographie de Denis Diderot (1713 -1784)</w:t>
      </w:r>
    </w:p>
    <w:p w:rsidR="00836C8C" w:rsidRPr="00836C8C" w:rsidRDefault="006A6976" w:rsidP="00836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Times-Roman"/>
          <w:sz w:val="22"/>
          <w:szCs w:val="32"/>
          <w:lang w:val="cs-CZ" w:eastAsia="en-US" w:bidi="en-US"/>
        </w:rPr>
      </w:pPr>
      <w:r w:rsidRPr="00836C8C">
        <w:rPr>
          <w:rFonts w:cs="Times-Roman"/>
          <w:sz w:val="22"/>
          <w:szCs w:val="32"/>
          <w:lang w:val="cs-CZ" w:eastAsia="en-US" w:bidi="en-US"/>
        </w:rPr>
        <w:t>Source : http://www.alalettre.com/diderot-bio.php</w:t>
      </w:r>
    </w:p>
    <w:p w:rsidR="00836C8C" w:rsidRPr="00836C8C" w:rsidRDefault="006A6976" w:rsidP="00836C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 w:cs="Arial-BoldMT"/>
          <w:b/>
          <w:bCs/>
          <w:sz w:val="28"/>
          <w:szCs w:val="32"/>
          <w:lang w:val="en-US" w:eastAsia="en-US" w:bidi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8160"/>
      </w:tblGrid>
      <w:tr w:rsidR="00836C8C" w:rsidRPr="00836C8C">
        <w:tblPrEx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MT" w:hAnsi="ArialMT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1713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cs-CZ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Naissance de Denis Diderot, le 5 octobre à Langres. Il est le deuxième de six enfants, dont deux meurent en bas-âge. Son père, maître coutelier est un artisan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aisé. L’oncle de Denis Diderot est chanoine, et la religion occupe une place importante dans les années de jeunesse du jeune Diderot. Son père le destine à la vie ecclésiastique et lui fait suivre l'enseignement des Jésuites à Langres. Diderot est un élèv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e brillant mais dissipé.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1726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Diderot, destiné à être prêtre, reçoit la tonsure.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1728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Diderot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poursuit ses études à Paris ; il obtient son baccalauréat.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1732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Diderot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est reçu en maîtrise és art de l’Université de Paris.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1733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Diderot se détourne de la v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ie ecclésiastique dont rêvait pour lui ses parents. Il mène une vie pauvre et difficile. Il exerce différents petits métiers pour survivre. Il est employé chez un procureur, puis devient précepteur.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1742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Il fait la connaissance de Jean-Jacques Rousseau et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de Grimm.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1743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Il rencontre Antoinette Champion, une lingère. Le père de Diderot s’oppose à leur projet de mariage. Diderot épouse secrètement Antoinette Champion. C’est la crise familiale. Diderot ne reverra plus sa mère et restera plus de dix ans avant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de revoir son père.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Le couple s’entend mal et les infidélités de Diderot sont nombreuses. De cette union, naissent quatre enfants. Seule Marie-Angélique, née en 1753, survivra. Très attaché à cette enfant, Diderot lui donne une éducation soignée, peu conf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orme à l’apprentissage superficiel qu’on dispense aux jeunes filles à cette époque.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1745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Diderot traduit </w:t>
            </w:r>
            <w:r w:rsidRPr="00836C8C">
              <w:rPr>
                <w:rFonts w:ascii="Book Antiqua" w:hAnsi="Book Antiqua" w:cs="Arial-BoldMT"/>
                <w:bCs/>
                <w:i/>
                <w:sz w:val="22"/>
                <w:szCs w:val="28"/>
                <w:lang w:val="en-US" w:eastAsia="en-US" w:bidi="en-US"/>
              </w:rPr>
              <w:t>L’Essai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 sur le Mérite et la Vertu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 du philosophe Anglais Shaftesbury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en l’accompagnant de notes personnelles.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1746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Diderot publie ses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Pensées philosop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hiques.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Ce premier texte original de Diderot est condamné par le Parlement de Paris pour son matérialisme et son athéisme.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Rencontre du mathématicien d'Alembert, avec qui Diderot écrira en partie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l'Encyclopédie.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1747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Diderot et D’Alembert acceptent la dir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ection de l’Encyclopédie.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1748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Diderot publie le roman libertin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Les Bijoux Indiscrets.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Publication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des mémoires sur Différents sujets de Mathématiques.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Il fréquente le salon de Mme Geoffrin.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1749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Diderot remontre Grimm et Holbach.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lastRenderedPageBreak/>
              <w:t xml:space="preserve">Il publie la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Lettre sur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 les aveugles à l'usage de ceux qui voient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. Dans cette lettre, il affirme son athéisme et sa « foi » en le matérialisme. Il assure que le Monde n'est que matière, que les notions de Bien et de Mal sont naturelles et que la vertu est indépendante de l'idée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de Dieu. Cette publication vaut à Diderot d’être emprisonné au fort de Vincennes. Sa fiche signalétique indique : « </w:t>
            </w: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>C’est un jeune homme qui fait le bel esprit et se fait trophée d’impiété, très dangereux ; parlant des saints Mystères avec mépris. 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»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lastRenderedPageBreak/>
              <w:t>1751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Publication du premier tome de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l'Encyclopédie,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 ou Dictionnaire raisonné des Sciences, des arts et des métiers par une société de gens de lettres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,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ouvrage auquel Diderot travaille depuis 1746, avec plus de 200 collaborateurs, dont Rousseau, Voltaire, et d'A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lembert. Cet ouvrage a pour but de recenser toutes les connaissances de l’époque.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1752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Publication des tomes II à VII de l'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Encyclopédie.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Les deux premiers volumes sont interdits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1755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Diderot fait la connaissance de Sophie Volland avec qui il aura une ave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nture passionnée jusqu’à sa mort. Ils entretiennent une intense relation épistolaire qui sera publiée.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1757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Publication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du Fils naturel,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drame, qui sera complété par un essai :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Entretien sur le fils naturel.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Diderot entend rénover le théâtre et dénoncer l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a tragédie classique, qui, selon lui, ne répond plus aux attentes du public. 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Rupture définitive avec Jean-Jacques Rousseau dont la mésentente était grandissante depuis quelques années. Diderot se fâche également avec d’Alembert.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1758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Publication de la pi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èce de théâtre :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Le père de famille.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 Publication </w:t>
            </w:r>
            <w:r w:rsidRPr="00836C8C">
              <w:rPr>
                <w:rFonts w:ascii="Book Antiqua" w:hAnsi="Book Antiqua" w:cs="Arial-BoldItalicMT"/>
                <w:bCs/>
                <w:iCs/>
                <w:sz w:val="22"/>
                <w:szCs w:val="28"/>
                <w:lang w:val="en-US" w:eastAsia="en-US" w:bidi="en-US"/>
              </w:rPr>
              <w:t>du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 Discours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 de la poésie dramatique.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1759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L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'Encyclopédie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est condamnée à la fois par le Parlement de Paris et par Rome. Le roi ordonne de détruire les sept volumes. Les manuscrits échapperont aux perquisiti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ons, et seront cachés chez Malesherbes. Diderot refuse de s’exiler et poursuit clandestinement ses travaux. Un grand nombre de ses collaborateurs se désolidarise de lui.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La mort de son père affecte beaucoup Diderot.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1760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Diderot commence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La Religieuse,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ro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man sous forme de mémoires qu’une religieuse échappée du couvent adresse au Marquis de Croismare pour solliciter son aide.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1761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Diderot rencontre Jean-François Rameau, le neveu du musicien, et se lie d'amitié avec lui. Cette rencontre inspirera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Le neveu d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e Rameau, qu’il commence l’année suivante. 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>Publication de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 L’Eloge de Richardson</w:t>
            </w: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>, en hommage au romancier anglais.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1762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Diderot commence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Le neveu de Rameau</w:t>
            </w: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>, qui ne sera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publié qu’au XIX</w:t>
            </w:r>
            <w:r w:rsidRPr="00836C8C">
              <w:rPr>
                <w:rFonts w:ascii="Book Antiqua" w:hAnsi="Book Antiqua" w:cs="ArialMT"/>
                <w:sz w:val="22"/>
                <w:szCs w:val="28"/>
                <w:vertAlign w:val="superscript"/>
                <w:lang w:val="en-US" w:eastAsia="en-US" w:bidi="en-US"/>
              </w:rPr>
              <w:t>e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siècle. Diderot imagine un dialogue entre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lui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, le neveu du musicien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et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moi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, le philosophe (peut-être Diderot lui-même) sur différents sujets, dont l'esthétique, la morale, la vertu, l’amitié, la patrie…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lastRenderedPageBreak/>
              <w:t>Catherine II accède au trône de Russie.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lastRenderedPageBreak/>
              <w:t>1765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Diderot vend sa bibliothèque à Catherine II, l'impératrice de Russie, afin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de pouvoir offrir une dot à sa fille qui se mariera en 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1772. La tsarine connaît le philosophe par </w:t>
            </w:r>
            <w:r w:rsidRPr="00836C8C">
              <w:rPr>
                <w:rFonts w:ascii="Book Antiqua" w:hAnsi="Book Antiqua" w:cs="Arial-BoldMT"/>
                <w:bCs/>
                <w:i/>
                <w:sz w:val="22"/>
                <w:szCs w:val="28"/>
                <w:lang w:val="en-US" w:eastAsia="en-US" w:bidi="en-US"/>
              </w:rPr>
              <w:t>La Correspondance littéraire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 et aussi par les récits des princes russes qui ont séjourné en France.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1766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Les volumes VIII à XVIII de L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'Encyclopédie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sont impr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imés clandestinement. 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Diderot devient membre de l’Académie des Arts de Saint-Pétersbourg.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1767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A la demande de son ami Grimm, Diderot écrit pour </w:t>
            </w:r>
            <w:r w:rsidRPr="00836C8C">
              <w:rPr>
                <w:rFonts w:ascii="Book Antiqua" w:hAnsi="Book Antiqua" w:cs="ArialMT"/>
                <w:i/>
                <w:sz w:val="22"/>
                <w:szCs w:val="28"/>
                <w:lang w:val="en-US" w:eastAsia="en-US" w:bidi="en-US"/>
              </w:rPr>
              <w:t>La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Correspondance littéraire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 les comptes rendus des salons de l’Académie royale des beaux Arts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. </w:t>
            </w:r>
            <w:r w:rsidRPr="00836C8C">
              <w:rPr>
                <w:rFonts w:ascii="Book Antiqua" w:hAnsi="Book Antiqua" w:cs="Arial-BoldItalicMT"/>
                <w:bCs/>
                <w:iCs/>
                <w:sz w:val="22"/>
                <w:szCs w:val="28"/>
                <w:lang w:val="en-US" w:eastAsia="en-US" w:bidi="en-US"/>
              </w:rPr>
              <w:t>On y retrouve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 s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es réflexions sur les œuvres picturales et sculpturales exposées au cours des salons qui ont lieu à Paris tous les deux ans.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1769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Rédaction du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Rêve de D'Alembert.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Dans cet ouvrage, Diderot expose sa théorie sur la vie et la nature. Il y indique que la m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atière n'est pas figée, et qu’au contraire, elle évolue : Chaque espèce existante se transforme et donne naissance à une nouvelle espèce. Dans une lettre à Sophie Volland, il commente ainsi ce texte : « </w:t>
            </w: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>Cela est de la plus haute extravagance et tout à la f</w:t>
            </w: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>ois de la philosophie la plus profonde. Il y a quelque adresse à avoir mis mes idées dans la bouche d’un homme qui rêve. Il faut souvent donner à la sagesse l’air de la folie afin de lui procurer ses entrées.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 »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1771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Diderot commence à écrire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Jacques Le Fa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taliste.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1773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Il travaille à nouveau à l’écriture du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 xml:space="preserve"> Neveu de Rameau et de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Jacques Le Fataliste. 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Il écrit 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le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Paradoxe du comédien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, explique que, selon lui, le talent de l'acteur consiste à reproduire mécaniquement et sans émotion les gestes du personnages</w:t>
            </w: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 qu'il joue. L'acteur ne doit pas ressentir les sentiments du personnage joué.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Diderot se rend six mois en Russie, suite à l’invitation de Catherine II.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1774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Publication du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Supplément au voyage de Bougainville.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1775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Il remet à Catherine II </w:t>
            </w:r>
            <w:r w:rsidRPr="00836C8C">
              <w:rPr>
                <w:rFonts w:ascii="Book Antiqua" w:hAnsi="Book Antiqua" w:cs="Arial-BoldItalicMT"/>
                <w:bCs/>
                <w:iCs/>
                <w:sz w:val="22"/>
                <w:szCs w:val="28"/>
                <w:lang w:val="en-US" w:eastAsia="en-US" w:bidi="en-US"/>
              </w:rPr>
              <w:t>le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 Plan d’une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Université pour la Russie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1777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ItalicMT"/>
                <w:iCs/>
                <w:sz w:val="22"/>
                <w:szCs w:val="28"/>
                <w:lang w:val="en-US" w:eastAsia="en-US" w:bidi="en-US"/>
              </w:rPr>
              <w:t xml:space="preserve">Diderot travaille à l’édition complète de ses œuvres. Il rédige en une nuit la comédie :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Est il bon ? est il méchant ?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1778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Publication de l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 xml:space="preserve">’Essai sur la Vie de Sénèque 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et de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Jacques Le Fataliste.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1779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Diderot réédite 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l’Es</w:t>
            </w:r>
            <w:r w:rsidRPr="00836C8C">
              <w:rPr>
                <w:rFonts w:ascii="Book Antiqua" w:hAnsi="Book Antiqua" w:cs="Arial-BoldItalicMT"/>
                <w:bCs/>
                <w:i/>
                <w:iCs/>
                <w:sz w:val="22"/>
                <w:szCs w:val="28"/>
                <w:lang w:val="en-US" w:eastAsia="en-US" w:bidi="en-US"/>
              </w:rPr>
              <w:t>sai sur la Vie de Sénèque,</w:t>
            </w: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 xml:space="preserve"> qu’il renomme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Essai sur les règnes de Claude et de Néron.</w:t>
            </w:r>
          </w:p>
        </w:tc>
      </w:tr>
      <w:tr w:rsidR="00836C8C" w:rsidRPr="00836C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1781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 xml:space="preserve">Diderot reprend l’écriture de </w:t>
            </w:r>
            <w:r w:rsidRPr="00836C8C">
              <w:rPr>
                <w:rFonts w:ascii="Book Antiqua" w:hAnsi="Book Antiqua" w:cs="Arial-ItalicMT"/>
                <w:i/>
                <w:iCs/>
                <w:sz w:val="22"/>
                <w:szCs w:val="28"/>
                <w:lang w:val="en-US" w:eastAsia="en-US" w:bidi="en-US"/>
              </w:rPr>
              <w:t>La Religieuse.</w:t>
            </w:r>
          </w:p>
        </w:tc>
      </w:tr>
      <w:tr w:rsidR="00836C8C" w:rsidRPr="00836C8C">
        <w:tblPrEx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  <w:t>1784</w:t>
            </w:r>
          </w:p>
        </w:tc>
        <w:tc>
          <w:tcPr>
            <w:tcW w:w="8160" w:type="dxa"/>
            <w:tcMar>
              <w:top w:w="160" w:type="nil"/>
              <w:right w:w="200" w:type="nil"/>
            </w:tcMar>
          </w:tcPr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Sophie Volland meurt le 22 février.</w:t>
            </w:r>
          </w:p>
          <w:p w:rsidR="00836C8C" w:rsidRPr="00836C8C" w:rsidRDefault="006A6976" w:rsidP="00836C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MT"/>
                <w:sz w:val="22"/>
                <w:szCs w:val="28"/>
                <w:lang w:val="en-US" w:eastAsia="en-US" w:bidi="en-US"/>
              </w:rPr>
            </w:pPr>
            <w:r w:rsidRPr="00836C8C">
              <w:rPr>
                <w:rFonts w:ascii="Book Antiqua" w:hAnsi="Book Antiqua" w:cs="Arial-BoldMT"/>
                <w:bCs/>
                <w:sz w:val="22"/>
                <w:szCs w:val="28"/>
                <w:lang w:val="en-US" w:eastAsia="en-US" w:bidi="en-US"/>
              </w:rPr>
              <w:t>Diderot meurt à Paris le 31 juillet 1784. Il a soixante et onze ans.</w:t>
            </w:r>
          </w:p>
        </w:tc>
      </w:tr>
    </w:tbl>
    <w:p w:rsidR="00836C8C" w:rsidRPr="00836C8C" w:rsidRDefault="006A6976" w:rsidP="00836C8C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rFonts w:cs="Times-Roman"/>
          <w:szCs w:val="32"/>
          <w:lang w:val="cs-CZ" w:eastAsia="en-US" w:bidi="en-US"/>
        </w:rPr>
      </w:pPr>
    </w:p>
    <w:sectPr w:rsidR="00836C8C" w:rsidRPr="0083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76" w:rsidRDefault="006A6976">
      <w:r>
        <w:separator/>
      </w:r>
    </w:p>
  </w:endnote>
  <w:endnote w:type="continuationSeparator" w:id="0">
    <w:p w:rsidR="006A6976" w:rsidRDefault="006A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76" w:rsidRDefault="006A6976">
      <w:r>
        <w:separator/>
      </w:r>
    </w:p>
  </w:footnote>
  <w:footnote w:type="continuationSeparator" w:id="0">
    <w:p w:rsidR="006A6976" w:rsidRDefault="006A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6746E"/>
    <w:multiLevelType w:val="hybridMultilevel"/>
    <w:tmpl w:val="BE00B66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F5"/>
    <w:rsid w:val="006A6976"/>
    <w:rsid w:val="00D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43EFA-E724-41EE-8761-18A84B16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84659F"/>
    <w:rPr>
      <w:color w:val="0000FF"/>
      <w:u w:val="single"/>
    </w:rPr>
  </w:style>
  <w:style w:type="table" w:styleId="Rcsostblzat">
    <w:name w:val="Table Grid"/>
    <w:basedOn w:val="Normltblzat"/>
    <w:rsid w:val="003453A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367DAE"/>
    <w:pPr>
      <w:spacing w:before="160" w:after="160"/>
    </w:pPr>
    <w:rPr>
      <w:rFonts w:ascii="Verdana" w:hAnsi="Verdana"/>
      <w:sz w:val="20"/>
    </w:rPr>
  </w:style>
  <w:style w:type="paragraph" w:styleId="Lbjegyzetszveg">
    <w:name w:val="footnote text"/>
    <w:basedOn w:val="Norml"/>
    <w:semiHidden/>
    <w:rsid w:val="00D84B25"/>
  </w:style>
  <w:style w:type="character" w:styleId="Lbjegyzet-hivatkozs">
    <w:name w:val="footnote reference"/>
    <w:basedOn w:val="Bekezdsalapbettpusa"/>
    <w:semiHidden/>
    <w:rsid w:val="00D84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6479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</vt:lpstr>
      <vt:lpstr>--------------------------------------------------------------------------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</dc:title>
  <dc:subject/>
  <dc:creator>Lőrinszky</dc:creator>
  <cp:keywords/>
  <cp:lastModifiedBy>Fazekas Zoltán</cp:lastModifiedBy>
  <cp:revision>2</cp:revision>
  <dcterms:created xsi:type="dcterms:W3CDTF">2018-05-11T07:23:00Z</dcterms:created>
  <dcterms:modified xsi:type="dcterms:W3CDTF">2018-05-11T07:23:00Z</dcterms:modified>
</cp:coreProperties>
</file>